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471" w:rsidRDefault="00B566A0">
      <w:pPr>
        <w:pStyle w:val="1"/>
        <w:framePr w:w="9418" w:h="14444" w:hRule="exact" w:wrap="none" w:vAnchor="page" w:hAnchor="page" w:x="1250" w:y="1321"/>
        <w:numPr>
          <w:ilvl w:val="0"/>
          <w:numId w:val="1"/>
        </w:numPr>
        <w:shd w:val="clear" w:color="auto" w:fill="auto"/>
        <w:tabs>
          <w:tab w:val="left" w:pos="3511"/>
        </w:tabs>
        <w:ind w:left="2340" w:right="1560" w:firstLine="1020"/>
      </w:pPr>
      <w:bookmarkStart w:id="0" w:name="_GoBack"/>
      <w:bookmarkEnd w:id="0"/>
      <w:r>
        <w:t>СЖАТИЕ ДАННЫХ В ЦСС 1.1 Форма проведения: Лабораторное занятие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ind w:left="20" w:firstLine="720"/>
        <w:jc w:val="both"/>
      </w:pPr>
      <w:r>
        <w:t>1.2 Цель занятия: Изучение алгоритмов сжатия данных и видов сжатия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after="297" w:line="260" w:lineRule="exact"/>
        <w:ind w:left="20"/>
        <w:jc w:val="center"/>
      </w:pPr>
      <w:r>
        <w:t>данных.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after="652" w:line="260" w:lineRule="exact"/>
        <w:ind w:left="1380"/>
      </w:pPr>
      <w:r>
        <w:t>1.3 Основные вопросы к теме: Алгоритмы сжатия без потерь.</w:t>
      </w:r>
    </w:p>
    <w:p w:rsidR="00624471" w:rsidRDefault="00B566A0">
      <w:pPr>
        <w:pStyle w:val="1"/>
        <w:framePr w:w="9418" w:h="14444" w:hRule="exact" w:wrap="none" w:vAnchor="page" w:hAnchor="page" w:x="1250" w:y="1321"/>
        <w:numPr>
          <w:ilvl w:val="1"/>
          <w:numId w:val="1"/>
        </w:numPr>
        <w:shd w:val="clear" w:color="auto" w:fill="auto"/>
        <w:tabs>
          <w:tab w:val="left" w:pos="3758"/>
        </w:tabs>
        <w:spacing w:after="261" w:line="260" w:lineRule="exact"/>
        <w:ind w:left="2340" w:firstLine="1020"/>
      </w:pPr>
      <w:r>
        <w:t>Теоретические сведения.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line="317" w:lineRule="exact"/>
        <w:ind w:left="20" w:right="40" w:firstLine="720"/>
        <w:jc w:val="both"/>
      </w:pPr>
      <w:r>
        <w:t xml:space="preserve">Код Хаффмана. </w:t>
      </w:r>
      <w:proofErr w:type="gramStart"/>
      <w:r>
        <w:t xml:space="preserve">Код Хаффмана </w:t>
      </w:r>
      <w:r w:rsidRPr="007A0F28">
        <w:t>(</w:t>
      </w:r>
      <w:r>
        <w:rPr>
          <w:lang w:val="en-US"/>
        </w:rPr>
        <w:t>Huffman</w:t>
      </w:r>
      <w:r w:rsidRPr="007A0F28">
        <w:t xml:space="preserve"> </w:t>
      </w:r>
      <w:r>
        <w:rPr>
          <w:lang w:val="en-US"/>
        </w:rPr>
        <w:t>code</w:t>
      </w:r>
      <w:r w:rsidRPr="007A0F28">
        <w:t xml:space="preserve">) </w:t>
      </w:r>
      <w:r>
        <w:t>(201 - это свободный от префикса код, который может давать самую короткую среднюю длину кода я для данного входного алфавита.</w:t>
      </w:r>
      <w:proofErr w:type="gramEnd"/>
      <w:r>
        <w:t xml:space="preserve"> Самая короткая средняя длина кода для конкретного алфавита может быть значительно больше энтропии алфавита источник</w:t>
      </w:r>
      <w:r>
        <w:t>а, и тогда эта невозможность выполнения обещанного сжатия данных будет связана с алфавитом, а не с методом кодирования. Часть алфавита может быть модифицирована для получения кода расширения, и тот же метод повторно применяется для достижения лучшего сжати</w:t>
      </w:r>
      <w:r>
        <w:t>я. Эффективность сжатия определяется коэффициентом сжатия. Эта мера равна отношению среднего числа бит на выборку до сжатия к среднему числу бит на выборку после сжатия.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line="317" w:lineRule="exact"/>
        <w:ind w:left="20" w:right="40" w:firstLine="720"/>
        <w:jc w:val="both"/>
      </w:pPr>
      <w:r>
        <w:t xml:space="preserve">Код Лемпеля-Зива </w:t>
      </w:r>
      <w:proofErr w:type="gramStart"/>
      <w:r>
        <w:t>-У</w:t>
      </w:r>
      <w:proofErr w:type="gramEnd"/>
      <w:r>
        <w:t xml:space="preserve">элча. Основной сложностью при использовании кода Хаффмана является </w:t>
      </w:r>
      <w:r>
        <w:t xml:space="preserve">то, что вероятности символов должны быть известны или оценены и как кодер, так и декодер должны знать дерево кодирования. Если дерево строится из необычного для кодера алфавита, канал, связывающий кодер и декодер, должен также отправлять кодирующее дерево </w:t>
      </w:r>
      <w:r>
        <w:t xml:space="preserve">как заголовок сжатого файла. Эти служебные издержки уменьшат эффективность сжатия, реализованную с помощью построения и применения дерева к алфавиту источника. Алгоритм Лемпеля-Зива </w:t>
      </w:r>
      <w:r w:rsidRPr="007A0F28">
        <w:t>(</w:t>
      </w:r>
      <w:r>
        <w:rPr>
          <w:lang w:val="en-US"/>
        </w:rPr>
        <w:t>Lempel</w:t>
      </w:r>
      <w:r w:rsidRPr="007A0F28">
        <w:t>-</w:t>
      </w:r>
      <w:proofErr w:type="spellStart"/>
      <w:r>
        <w:rPr>
          <w:lang w:val="en-US"/>
        </w:rPr>
        <w:t>Ziv</w:t>
      </w:r>
      <w:proofErr w:type="spellEnd"/>
      <w:r w:rsidRPr="007A0F28">
        <w:t xml:space="preserve">) </w:t>
      </w:r>
      <w:r>
        <w:t>и его многочисленные разновидности используют текст сам по се</w:t>
      </w:r>
      <w:r>
        <w:t>бе для итеративного построения синтаксически выделенной последовательности кодовых слов переменной длины, которые образуют кодовый словарь.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line="317" w:lineRule="exact"/>
        <w:ind w:left="20" w:firstLine="720"/>
        <w:jc w:val="both"/>
      </w:pPr>
      <w:r>
        <w:t>Алгоритм Хаффмана в факсимильной связи.</w:t>
      </w:r>
    </w:p>
    <w:p w:rsidR="00624471" w:rsidRDefault="00B566A0">
      <w:pPr>
        <w:pStyle w:val="1"/>
        <w:framePr w:w="9418" w:h="14444" w:hRule="exact" w:wrap="none" w:vAnchor="page" w:hAnchor="page" w:x="1250" w:y="1321"/>
        <w:shd w:val="clear" w:color="auto" w:fill="auto"/>
        <w:spacing w:line="317" w:lineRule="exact"/>
        <w:ind w:left="20" w:right="40" w:firstLine="720"/>
        <w:jc w:val="both"/>
      </w:pPr>
      <w:r>
        <w:t>Факсимильная передача — это процесс передачи двухмерного образа как последов</w:t>
      </w:r>
      <w:r>
        <w:t>ательности последовательных строчных разверток. В действительности наиболее распространенными образами являются документы, содержащие текст и цифры. Положение строчной развертки и положение вдоль развертки квантуются в пространственные расположения, которы</w:t>
      </w:r>
      <w:r>
        <w:t>е определяют двухмерную координатную сетку элементов картинки, называемых пикселями. Ширина стандартного документа МККТТ определяется равной 8,27 дюймов (20,7 см</w:t>
      </w:r>
      <w:proofErr w:type="gramStart"/>
      <w:r>
        <w:t xml:space="preserve"> )</w:t>
      </w:r>
      <w:proofErr w:type="gramEnd"/>
      <w:r>
        <w:t>, а длина- 11,7 дюймов (29,2 см), почти 8,5 дюймов на 11,0 дюймов. Пространственное квантован</w:t>
      </w:r>
      <w:r>
        <w:t xml:space="preserve">ие </w:t>
      </w:r>
      <w:proofErr w:type="gramStart"/>
      <w:r>
        <w:t>для</w:t>
      </w:r>
      <w:proofErr w:type="gramEnd"/>
    </w:p>
    <w:p w:rsidR="00624471" w:rsidRDefault="00624471">
      <w:pPr>
        <w:rPr>
          <w:sz w:val="2"/>
          <w:szCs w:val="2"/>
        </w:rPr>
        <w:sectPr w:rsidR="00624471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4471" w:rsidRDefault="00B566A0">
      <w:pPr>
        <w:pStyle w:val="1"/>
        <w:framePr w:w="9398" w:h="11605" w:hRule="exact" w:wrap="none" w:vAnchor="page" w:hAnchor="page" w:x="1260" w:y="1587"/>
        <w:shd w:val="clear" w:color="auto" w:fill="auto"/>
        <w:spacing w:after="39" w:line="317" w:lineRule="exact"/>
        <w:ind w:left="20" w:right="40"/>
        <w:jc w:val="both"/>
      </w:pPr>
      <w:r>
        <w:lastRenderedPageBreak/>
        <w:t>нормального разрешения составляет 1728 пикселей/строку и 1188 строк/документ. Стандарт также определяет квантование с высоким разрешением с теми же 1728 пикселями/строку, но с 2376 строками/документ. Общее число отдельных пиксе</w:t>
      </w:r>
      <w:r>
        <w:t xml:space="preserve">лей для факсимильной передачи с нормальным разрешением составляет 2 052 864, и оно удваивается для высокого разрешения. Для сравнения, число пикселей в стандарте </w:t>
      </w:r>
      <w:r>
        <w:rPr>
          <w:lang w:val="en-US"/>
        </w:rPr>
        <w:t>NTSC</w:t>
      </w:r>
      <w:r w:rsidRPr="007A0F28">
        <w:t xml:space="preserve"> (</w:t>
      </w:r>
      <w:r>
        <w:rPr>
          <w:lang w:val="en-US"/>
        </w:rPr>
        <w:t>National</w:t>
      </w:r>
      <w:r w:rsidRPr="007A0F28">
        <w:t xml:space="preserve"> </w:t>
      </w:r>
      <w:r>
        <w:rPr>
          <w:lang w:val="en-US"/>
        </w:rPr>
        <w:t>Television</w:t>
      </w:r>
      <w:r w:rsidRPr="007A0F28">
        <w:t xml:space="preserve"> </w:t>
      </w:r>
      <w:r>
        <w:rPr>
          <w:lang w:val="en-US"/>
        </w:rPr>
        <w:t>Standards</w:t>
      </w:r>
      <w:r w:rsidRPr="007A0F28">
        <w:t xml:space="preserve"> </w:t>
      </w:r>
      <w:r>
        <w:rPr>
          <w:lang w:val="en-US"/>
        </w:rPr>
        <w:t>Committee</w:t>
      </w:r>
      <w:r w:rsidRPr="007A0F28">
        <w:t xml:space="preserve"> — </w:t>
      </w:r>
      <w:r>
        <w:t>Национальный комитет по телевизионным стандарт</w:t>
      </w:r>
      <w:r>
        <w:t>ам) коммерческого телевидения составляет 480 х 460, или 307 200. Таким образом, факсимильное изображение имеет разрешение в 6,7 или 13,4 раза больше разрешения стандартного телевизионного образа.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1"/>
          <w:numId w:val="1"/>
        </w:numPr>
        <w:shd w:val="clear" w:color="auto" w:fill="auto"/>
        <w:tabs>
          <w:tab w:val="left" w:pos="4109"/>
        </w:tabs>
        <w:ind w:left="3720"/>
      </w:pPr>
      <w:r>
        <w:t>Вопросы и задания</w:t>
      </w:r>
    </w:p>
    <w:p w:rsidR="00624471" w:rsidRDefault="00B566A0">
      <w:pPr>
        <w:pStyle w:val="1"/>
        <w:framePr w:w="9398" w:h="11605" w:hRule="exact" w:wrap="none" w:vAnchor="page" w:hAnchor="page" w:x="1260" w:y="1587"/>
        <w:shd w:val="clear" w:color="auto" w:fill="auto"/>
        <w:ind w:left="20" w:firstLine="700"/>
        <w:jc w:val="both"/>
      </w:pPr>
      <w:r>
        <w:t>Изучить теоретический материал и составить</w:t>
      </w:r>
      <w:r>
        <w:t xml:space="preserve"> краткий конспект.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1"/>
          <w:numId w:val="1"/>
        </w:numPr>
        <w:shd w:val="clear" w:color="auto" w:fill="auto"/>
        <w:tabs>
          <w:tab w:val="left" w:pos="4114"/>
        </w:tabs>
        <w:ind w:left="3720"/>
      </w:pPr>
      <w:r>
        <w:t>Список литературы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1023"/>
        </w:tabs>
        <w:spacing w:line="317" w:lineRule="exact"/>
        <w:ind w:left="20" w:right="20" w:firstLine="700"/>
        <w:jc w:val="both"/>
      </w:pPr>
      <w:r>
        <w:t>Скляр Б. Цифровая связь. Теоретические основы и практическое применение: 2-е изд. /Пер. с англ. М.: Издательский дом «Вильямс», 2003. 1104 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926"/>
        </w:tabs>
        <w:spacing w:line="317" w:lineRule="exact"/>
        <w:ind w:left="20" w:firstLine="700"/>
        <w:jc w:val="both"/>
      </w:pPr>
      <w:r>
        <w:t>Прокис Дж. Цифровая связь. Радио и связь, 2000.-797с.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961"/>
        </w:tabs>
        <w:spacing w:line="317" w:lineRule="exact"/>
        <w:ind w:left="20" w:right="20" w:firstLine="700"/>
        <w:jc w:val="both"/>
      </w:pPr>
      <w:r>
        <w:t xml:space="preserve">А.Б. Сергиенко. </w:t>
      </w:r>
      <w:r>
        <w:t>Цифровая обработка сигналов: Учебник для вузов. - М.:-2002.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1076"/>
        </w:tabs>
        <w:spacing w:line="317" w:lineRule="exact"/>
        <w:ind w:left="20" w:right="20" w:firstLine="700"/>
        <w:jc w:val="both"/>
      </w:pPr>
      <w:r>
        <w:t>Шварцман В.О., Емельянов Г.А. Теория передачи дискретной информации. - М.: Связь, 1979. -424 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980"/>
        </w:tabs>
        <w:spacing w:line="317" w:lineRule="exact"/>
        <w:ind w:left="20" w:right="20" w:firstLine="700"/>
        <w:jc w:val="both"/>
      </w:pPr>
      <w:r>
        <w:t>Передача дискретных сообщений</w:t>
      </w:r>
      <w:proofErr w:type="gramStart"/>
      <w:r>
        <w:t xml:space="preserve"> / П</w:t>
      </w:r>
      <w:proofErr w:type="gramEnd"/>
      <w:r>
        <w:t xml:space="preserve">од ред. В. П. Шувалова. - </w:t>
      </w:r>
      <w:r>
        <w:rPr>
          <w:rStyle w:val="0pt"/>
        </w:rPr>
        <w:t xml:space="preserve">М.: </w:t>
      </w:r>
      <w:r>
        <w:t>Радио и связь, 1990. -464 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942"/>
        </w:tabs>
        <w:spacing w:line="317" w:lineRule="exact"/>
        <w:ind w:left="20" w:right="20" w:firstLine="700"/>
        <w:jc w:val="both"/>
      </w:pPr>
      <w:r>
        <w:t xml:space="preserve">Емельянов </w:t>
      </w:r>
      <w:r>
        <w:rPr>
          <w:rStyle w:val="0pt"/>
        </w:rPr>
        <w:t xml:space="preserve">Г. </w:t>
      </w:r>
      <w:r>
        <w:t>А., Шварцман В. О. Передача дискретной информации. - М.: Радио и связь, 1982. - 240 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1028"/>
        </w:tabs>
        <w:spacing w:line="317" w:lineRule="exact"/>
        <w:ind w:left="20" w:right="20" w:firstLine="700"/>
        <w:jc w:val="both"/>
      </w:pPr>
      <w:r>
        <w:t xml:space="preserve">Дмитриев В.И. Прикладная теория информации: Учебник. - М.: </w:t>
      </w:r>
      <w:proofErr w:type="spellStart"/>
      <w:r>
        <w:t>Высш.шк</w:t>
      </w:r>
      <w:proofErr w:type="spellEnd"/>
      <w:r>
        <w:t>., 1989.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937"/>
        </w:tabs>
        <w:spacing w:line="317" w:lineRule="exact"/>
        <w:ind w:left="20" w:right="20" w:firstLine="700"/>
        <w:jc w:val="both"/>
      </w:pPr>
      <w:proofErr w:type="spellStart"/>
      <w:r>
        <w:t>Тутевич</w:t>
      </w:r>
      <w:proofErr w:type="spellEnd"/>
      <w:r>
        <w:t xml:space="preserve"> В.Н. Телемеханика: Учебное пособие.- </w:t>
      </w:r>
      <w:r>
        <w:rPr>
          <w:rStyle w:val="0pt"/>
        </w:rPr>
        <w:t xml:space="preserve">М.: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Шк</w:t>
      </w:r>
      <w:proofErr w:type="spellEnd"/>
      <w:r>
        <w:t>., 1985. -423 с.</w:t>
      </w:r>
    </w:p>
    <w:p w:rsidR="00624471" w:rsidRDefault="00B566A0">
      <w:pPr>
        <w:pStyle w:val="1"/>
        <w:framePr w:w="9398" w:h="11605" w:hRule="exact" w:wrap="none" w:vAnchor="page" w:hAnchor="page" w:x="1260" w:y="1587"/>
        <w:numPr>
          <w:ilvl w:val="0"/>
          <w:numId w:val="2"/>
        </w:numPr>
        <w:shd w:val="clear" w:color="auto" w:fill="auto"/>
        <w:tabs>
          <w:tab w:val="left" w:pos="1090"/>
        </w:tabs>
        <w:spacing w:line="317" w:lineRule="exact"/>
        <w:ind w:left="20" w:right="20" w:firstLine="700"/>
        <w:jc w:val="both"/>
      </w:pPr>
      <w:proofErr w:type="spellStart"/>
      <w:r>
        <w:t>Ватолин</w:t>
      </w:r>
      <w:proofErr w:type="spellEnd"/>
      <w:r>
        <w:t xml:space="preserve"> Д.С. Алгоритмы сжатия изображений. Методическое пособие.</w:t>
      </w:r>
    </w:p>
    <w:p w:rsidR="00624471" w:rsidRDefault="00624471">
      <w:pPr>
        <w:rPr>
          <w:sz w:val="2"/>
          <w:szCs w:val="2"/>
        </w:rPr>
      </w:pPr>
    </w:p>
    <w:sectPr w:rsidR="00624471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6A0" w:rsidRDefault="00B566A0">
      <w:r>
        <w:separator/>
      </w:r>
    </w:p>
  </w:endnote>
  <w:endnote w:type="continuationSeparator" w:id="0">
    <w:p w:rsidR="00B566A0" w:rsidRDefault="00B56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6A0" w:rsidRDefault="00B566A0"/>
  </w:footnote>
  <w:footnote w:type="continuationSeparator" w:id="0">
    <w:p w:rsidR="00B566A0" w:rsidRDefault="00B566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92E3C"/>
    <w:multiLevelType w:val="multilevel"/>
    <w:tmpl w:val="D122876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48448D"/>
    <w:multiLevelType w:val="multilevel"/>
    <w:tmpl w:val="548E605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471"/>
    <w:rsid w:val="00624471"/>
    <w:rsid w:val="007A0F28"/>
    <w:rsid w:val="00B5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643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643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2018-09-19T16:12:00Z</dcterms:created>
  <dcterms:modified xsi:type="dcterms:W3CDTF">2018-09-19T16:13:00Z</dcterms:modified>
</cp:coreProperties>
</file>